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244D" w14:textId="17EF74B1" w:rsidR="00C47DEC" w:rsidRDefault="00192716" w:rsidP="00F503A3">
      <w:pPr>
        <w:ind w:left="-567"/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</w:pPr>
      <w:r w:rsidRPr="000E0910">
        <w:rPr>
          <w:rFonts w:ascii="Arial" w:eastAsia="Arial" w:hAnsi="Arial" w:cs="Times New Roman"/>
          <w:b/>
          <w:bCs/>
          <w:color w:val="0070C0"/>
          <w:kern w:val="0"/>
          <w:sz w:val="32"/>
          <w:szCs w:val="32"/>
          <w14:ligatures w14:val="none"/>
        </w:rPr>
        <w:t>Should I measure lipoprotein (a) and what is the relevance?</w:t>
      </w:r>
    </w:p>
    <w:tbl>
      <w:tblPr>
        <w:tblW w:w="10206" w:type="dxa"/>
        <w:tblInd w:w="-567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 w:rsidR="00F503A3" w:rsidRPr="00F503A3" w14:paraId="047B4558" w14:textId="77777777" w:rsidTr="00F503A3">
        <w:trPr>
          <w:trHeight w:val="773"/>
        </w:trPr>
        <w:tc>
          <w:tcPr>
            <w:tcW w:w="10206" w:type="dxa"/>
            <w:shd w:val="clear" w:color="auto" w:fill="D9D9D9"/>
            <w:vAlign w:val="center"/>
          </w:tcPr>
          <w:p w14:paraId="5C4C027B" w14:textId="77777777" w:rsidR="00F503A3" w:rsidRPr="00F503A3" w:rsidRDefault="00F503A3" w:rsidP="00F503A3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:lang w:val="sv-SE"/>
                <w14:ligatures w14:val="none"/>
              </w:rPr>
              <w:t>Dear [Dr ____],</w:t>
            </w:r>
          </w:p>
          <w:p w14:paraId="6B081B8C" w14:textId="77777777" w:rsidR="00F503A3" w:rsidRPr="00F503A3" w:rsidRDefault="00F503A3" w:rsidP="00F503A3">
            <w:pPr>
              <w:shd w:val="clear" w:color="auto" w:fill="D9D9D9"/>
              <w:spacing w:after="0" w:line="240" w:lineRule="auto"/>
              <w:ind w:left="-289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</w:p>
          <w:p w14:paraId="3115B528" w14:textId="77777777" w:rsidR="00F503A3" w:rsidRPr="00F503A3" w:rsidRDefault="00F503A3" w:rsidP="00F503A3">
            <w:pPr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Advice and guidance response pertaining to [Patient name].</w:t>
            </w:r>
          </w:p>
          <w:p w14:paraId="28D39D91" w14:textId="77777777" w:rsidR="00F503A3" w:rsidRPr="00F503A3" w:rsidRDefault="00F503A3" w:rsidP="00F503A3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Your patient has asked about Lipoprotein (a).</w:t>
            </w:r>
          </w:p>
          <w:p w14:paraId="59509BF1" w14:textId="77777777" w:rsidR="00F503A3" w:rsidRPr="00F503A3" w:rsidRDefault="00F503A3" w:rsidP="00DA354A">
            <w:pPr>
              <w:spacing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Lipoprotein (a) (</w:t>
            </w:r>
            <w:proofErr w:type="spellStart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Lp</w:t>
            </w:r>
            <w:proofErr w:type="spellEnd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(a)) is an independent risk factor for atherosclerotic cardiovascular disease (ASVD) and aortic valve stenosis (AVS). It is not yet known whether lowering </w:t>
            </w:r>
            <w:proofErr w:type="spellStart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Lp</w:t>
            </w:r>
            <w:proofErr w:type="spellEnd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(a) reduces the risk of ASVD and AVS progression, nor the extent of </w:t>
            </w:r>
            <w:proofErr w:type="spellStart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Lp</w:t>
            </w:r>
            <w:proofErr w:type="spellEnd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(a) lowering that may be beneficial.  </w:t>
            </w:r>
          </w:p>
        </w:tc>
      </w:tr>
      <w:tr w:rsidR="00F503A3" w:rsidRPr="00F503A3" w14:paraId="518DE6E4" w14:textId="77777777" w:rsidTr="00F503A3">
        <w:trPr>
          <w:trHeight w:val="27"/>
        </w:trPr>
        <w:tc>
          <w:tcPr>
            <w:tcW w:w="10206" w:type="dxa"/>
            <w:shd w:val="clear" w:color="auto" w:fill="ADFFE5"/>
            <w:vAlign w:val="center"/>
          </w:tcPr>
          <w:p w14:paraId="081FFDD0" w14:textId="77777777" w:rsidR="00F503A3" w:rsidRPr="00F503A3" w:rsidRDefault="00F503A3" w:rsidP="00DA354A">
            <w:pPr>
              <w:spacing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Currently there are no specific licensed treatment options targeted at </w:t>
            </w:r>
            <w:proofErr w:type="spellStart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Lp</w:t>
            </w:r>
            <w:proofErr w:type="spellEnd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(a) but PCSK9 inhibitors do reduce levels by 25%.  </w:t>
            </w:r>
          </w:p>
          <w:p w14:paraId="4E58DAEB" w14:textId="78097A8F" w:rsidR="00F503A3" w:rsidRPr="00F503A3" w:rsidRDefault="00F503A3" w:rsidP="00DA354A">
            <w:pPr>
              <w:spacing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proofErr w:type="spellStart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Lp</w:t>
            </w:r>
            <w:proofErr w:type="spellEnd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(a) is 90% genetically determined. As part of a personalised approach to patient care</w:t>
            </w:r>
            <w:r w:rsidR="00F74020">
              <w:rPr>
                <w:rFonts w:ascii="Arial" w:eastAsia="Arial" w:hAnsi="Arial" w:cs="Times New Roman"/>
                <w:kern w:val="0"/>
                <w14:ligatures w14:val="none"/>
              </w:rPr>
              <w:t>, i</w:t>
            </w: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f available, consider measuring it once in each adult person’s lifetime especially for those with a history of premature CVD levels or a very strong family history of ASCVD</w:t>
            </w:r>
            <w:r w:rsidR="002C3051">
              <w:rPr>
                <w:rFonts w:ascii="Arial" w:eastAsia="Arial" w:hAnsi="Arial" w:cs="Times New Roman"/>
                <w:kern w:val="0"/>
                <w14:ligatures w14:val="none"/>
              </w:rPr>
              <w:t>. Levels</w:t>
            </w: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 &gt;50 mg/dl will move individuals into a higher risk category and can help guide conversations around dyslipidaemia treatment decisions. Those with very high levels (&gt;180mg/dl) have a lifetime risk equivalent to the risk associated with heterozygous familial hypercholesterolaemia. </w:t>
            </w:r>
          </w:p>
          <w:p w14:paraId="41D358B7" w14:textId="77777777" w:rsidR="00F503A3" w:rsidRPr="00F503A3" w:rsidRDefault="00F503A3" w:rsidP="00DA354A">
            <w:pPr>
              <w:spacing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Reducing traditional risk factors in individuals with high </w:t>
            </w:r>
            <w:proofErr w:type="spellStart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Lp</w:t>
            </w:r>
            <w:proofErr w:type="spellEnd"/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 xml:space="preserve">(a) is recommended. </w:t>
            </w:r>
          </w:p>
          <w:p w14:paraId="63FF3B2C" w14:textId="77777777" w:rsidR="00F503A3" w:rsidRPr="00F503A3" w:rsidRDefault="00F503A3" w:rsidP="00DA354A">
            <w:pPr>
              <w:spacing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F503A3">
              <w:rPr>
                <w:rFonts w:ascii="Arial" w:eastAsia="Arial" w:hAnsi="Arial" w:cs="Times New Roman"/>
                <w:kern w:val="0"/>
                <w14:ligatures w14:val="none"/>
              </w:rPr>
              <w:t>QRISK does not apply in patients with a raised LP(a) as these patients are already at high risk of ASCVD.</w:t>
            </w:r>
          </w:p>
        </w:tc>
      </w:tr>
      <w:tr w:rsidR="00F503A3" w:rsidRPr="00F503A3" w14:paraId="1827E32F" w14:textId="77777777" w:rsidTr="00F503A3">
        <w:trPr>
          <w:trHeight w:val="27"/>
        </w:trPr>
        <w:tc>
          <w:tcPr>
            <w:tcW w:w="10206" w:type="dxa"/>
            <w:shd w:val="clear" w:color="auto" w:fill="F6C2D2"/>
            <w:vAlign w:val="center"/>
          </w:tcPr>
          <w:p w14:paraId="4BDFA5D9" w14:textId="77777777" w:rsidR="00F503A3" w:rsidRPr="00F503A3" w:rsidRDefault="00F503A3" w:rsidP="00F503A3">
            <w:pPr>
              <w:shd w:val="clear" w:color="auto" w:fill="F6C2D2"/>
              <w:spacing w:after="120" w:line="36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Onward Referrals to lipid clinic or local alternative pathway:</w:t>
            </w: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5DEA5AAF" w14:textId="77777777" w:rsidR="00F503A3" w:rsidRPr="00F503A3" w:rsidRDefault="00F503A3" w:rsidP="002C3051">
            <w:pPr>
              <w:numPr>
                <w:ilvl w:val="0"/>
                <w:numId w:val="2"/>
              </w:numPr>
              <w:shd w:val="clear" w:color="auto" w:fill="F6C2D2"/>
              <w:spacing w:after="0" w:line="240" w:lineRule="auto"/>
              <w:ind w:left="714" w:hanging="357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The following are available in primary care and do not require initiation by specialist services. If lipid levels are still above target despite these measures, refer to a lipid service for further advice:</w:t>
            </w:r>
          </w:p>
          <w:p w14:paraId="02A5D826" w14:textId="77777777" w:rsidR="00F503A3" w:rsidRPr="00F503A3" w:rsidRDefault="00F503A3" w:rsidP="002C3051">
            <w:pPr>
              <w:shd w:val="clear" w:color="auto" w:fill="F6C2D2"/>
              <w:spacing w:after="0" w:line="240" w:lineRule="auto"/>
              <w:ind w:left="714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 xml:space="preserve">Ezetimibe, Bempedoic acid and </w:t>
            </w:r>
            <w:proofErr w:type="spellStart"/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Inclisiran</w:t>
            </w:r>
            <w:proofErr w:type="spellEnd"/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 xml:space="preserve">. </w:t>
            </w:r>
          </w:p>
          <w:p w14:paraId="2F61E4D9" w14:textId="77777777" w:rsidR="00F503A3" w:rsidRPr="00F503A3" w:rsidRDefault="00F503A3" w:rsidP="002C3051">
            <w:pPr>
              <w:numPr>
                <w:ilvl w:val="0"/>
                <w:numId w:val="3"/>
              </w:numPr>
              <w:shd w:val="clear" w:color="auto" w:fill="F6C2D2"/>
              <w:spacing w:after="0" w:line="240" w:lineRule="auto"/>
              <w:ind w:left="714" w:hanging="357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PCSK9i may be available for prescribing in primary care depending on local pathways. </w:t>
            </w:r>
          </w:p>
          <w:p w14:paraId="599537C4" w14:textId="77777777" w:rsidR="00F503A3" w:rsidRPr="00F503A3" w:rsidRDefault="00F503A3" w:rsidP="002C3051">
            <w:pPr>
              <w:numPr>
                <w:ilvl w:val="0"/>
                <w:numId w:val="4"/>
              </w:numPr>
              <w:shd w:val="clear" w:color="auto" w:fill="F6C2D2"/>
              <w:spacing w:after="0" w:line="240" w:lineRule="auto"/>
              <w:ind w:left="714" w:hanging="357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Consider familial hypercholesterolemia if TC &gt; 7.5 mmol/L or LDL-C &gt; 4.9mmol/L or non-HDL-C &gt; 5.9mmol/L and no secondary causes. Use Simon Broome or Dutch Lipid Clinic Network criteria to make a clinical diagnosis and refer to lipid clinic or local alternative pathway.</w:t>
            </w:r>
          </w:p>
          <w:p w14:paraId="4C89505D" w14:textId="77777777" w:rsidR="00F503A3" w:rsidRPr="00F503A3" w:rsidRDefault="00F503A3" w:rsidP="002C3051">
            <w:pPr>
              <w:numPr>
                <w:ilvl w:val="0"/>
                <w:numId w:val="4"/>
              </w:numPr>
              <w:shd w:val="clear" w:color="auto" w:fill="F6C2D2"/>
              <w:spacing w:after="0" w:line="240" w:lineRule="auto"/>
              <w:ind w:left="714" w:hanging="357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TG &gt; 20mmol/l need urgent specialist review if not as a result of excess alcohol or poor glycaemic control. Refer for routine specialist advice if &gt; 10mmol/l after addressing secondary causes (see above).</w:t>
            </w:r>
          </w:p>
          <w:p w14:paraId="4ADCEAC8" w14:textId="77777777" w:rsidR="00F503A3" w:rsidRPr="00F503A3" w:rsidRDefault="00F503A3" w:rsidP="00F503A3">
            <w:pPr>
              <w:spacing w:after="0" w:line="240" w:lineRule="auto"/>
              <w:ind w:left="72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</w:p>
        </w:tc>
      </w:tr>
      <w:tr w:rsidR="00F503A3" w:rsidRPr="00F503A3" w14:paraId="0E182DDF" w14:textId="77777777" w:rsidTr="00F503A3">
        <w:trPr>
          <w:trHeight w:val="27"/>
        </w:trPr>
        <w:tc>
          <w:tcPr>
            <w:tcW w:w="10206" w:type="dxa"/>
            <w:shd w:val="clear" w:color="auto" w:fill="C2E3FF"/>
            <w:vAlign w:val="center"/>
          </w:tcPr>
          <w:p w14:paraId="4D434476" w14:textId="77777777" w:rsidR="00F503A3" w:rsidRPr="00F503A3" w:rsidRDefault="00F503A3" w:rsidP="00F503A3">
            <w:pPr>
              <w:spacing w:after="0" w:line="240" w:lineRule="auto"/>
              <w:ind w:right="140"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MS Mincho" w:hAnsi="Arial" w:cs="Arial"/>
                <w:b/>
                <w:bCs/>
                <w:color w:val="181717"/>
                <w:kern w:val="24"/>
                <w:lang w:eastAsia="en-GB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Links to relevant national guidance, local guidelines and pathways:</w:t>
            </w:r>
          </w:p>
          <w:p w14:paraId="28A63A29" w14:textId="77777777" w:rsidR="00F503A3" w:rsidRPr="00F503A3" w:rsidRDefault="00F503A3" w:rsidP="00F503A3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8" w:tgtFrame="_blank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Lipid disorders | Topic | NICE</w:t>
              </w:r>
            </w:hyperlink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0C1201D4" w14:textId="77777777" w:rsidR="00F503A3" w:rsidRPr="00F503A3" w:rsidRDefault="00F503A3" w:rsidP="00F503A3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9" w:tgtFrame="_blank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2025 Focused Update of the 2019 ESC/EAS Guidelines for the management of dyslipidaemias</w:t>
              </w:r>
            </w:hyperlink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29DCC7B5" w14:textId="77777777" w:rsidR="00F503A3" w:rsidRPr="00F503A3" w:rsidRDefault="00F503A3" w:rsidP="00F503A3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0" w:tgtFrame="_blank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2019 ESC Guidelines on Dyslipidaemias (Management of)</w:t>
              </w:r>
            </w:hyperlink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15E62C3E" w14:textId="77777777" w:rsidR="00F503A3" w:rsidRPr="00F503A3" w:rsidRDefault="00F503A3" w:rsidP="00F503A3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1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Lipid optimisation for secondary prevention in primary care/the community</w:t>
              </w:r>
            </w:hyperlink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3A3C16EC" w14:textId="77777777" w:rsidR="00F503A3" w:rsidRPr="00F503A3" w:rsidRDefault="00F503A3" w:rsidP="00F503A3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2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Lipid optimisation for secondary prevention following an ACS/TIS/PAD event</w:t>
              </w:r>
            </w:hyperlink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2E4831C1" w14:textId="77777777" w:rsidR="00F503A3" w:rsidRPr="00F503A3" w:rsidRDefault="00F503A3" w:rsidP="00F503A3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3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Summary of National Guidance for Lipid Management for Primary and Secondary Prevention of CVD</w:t>
              </w:r>
            </w:hyperlink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5BBA0BDE" w14:textId="264DB5FB" w:rsidR="00F503A3" w:rsidRPr="00DA354A" w:rsidRDefault="00F503A3" w:rsidP="00DA354A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4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NHS England Statin Intolerance Pathway</w:t>
              </w:r>
            </w:hyperlink>
          </w:p>
          <w:p w14:paraId="35ABFF74" w14:textId="77777777" w:rsidR="00F503A3" w:rsidRPr="00F503A3" w:rsidRDefault="00F503A3" w:rsidP="00F503A3">
            <w:pPr>
              <w:spacing w:after="0" w:line="240" w:lineRule="auto"/>
              <w:ind w:right="140"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</w:p>
          <w:p w14:paraId="0B662522" w14:textId="77777777" w:rsidR="00F503A3" w:rsidRPr="00F503A3" w:rsidRDefault="00F503A3" w:rsidP="00F503A3">
            <w:pPr>
              <w:spacing w:after="0" w:line="240" w:lineRule="auto"/>
              <w:ind w:right="140"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Resources for patients:</w:t>
            </w:r>
          </w:p>
          <w:p w14:paraId="68AB48E3" w14:textId="69C71D92" w:rsidR="00DA354A" w:rsidRPr="00DA354A" w:rsidRDefault="00F503A3" w:rsidP="00DA354A">
            <w:pPr>
              <w:numPr>
                <w:ilvl w:val="0"/>
                <w:numId w:val="5"/>
              </w:numPr>
              <w:spacing w:after="120" w:line="36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5" w:tgtFrame="_blank" w:history="1">
              <w:r w:rsidRPr="00F503A3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British Heart Foundation: Heart health questions, information and support</w:t>
              </w:r>
            </w:hyperlink>
          </w:p>
        </w:tc>
      </w:tr>
      <w:tr w:rsidR="00F503A3" w:rsidRPr="00F503A3" w14:paraId="782911D0" w14:textId="77777777" w:rsidTr="00F503A3">
        <w:trPr>
          <w:trHeight w:val="70"/>
        </w:trPr>
        <w:tc>
          <w:tcPr>
            <w:tcW w:w="10206" w:type="dxa"/>
            <w:shd w:val="clear" w:color="auto" w:fill="D9D9D9"/>
            <w:vAlign w:val="center"/>
          </w:tcPr>
          <w:p w14:paraId="50A46BB9" w14:textId="77777777" w:rsidR="00F503A3" w:rsidRPr="00F503A3" w:rsidRDefault="00F503A3" w:rsidP="00F503A3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If referring back, please state that the referral has already been through Advice and Guidance and include previous correspondence so we don’t duplicate advice.</w:t>
            </w:r>
          </w:p>
          <w:p w14:paraId="4EC57C63" w14:textId="77777777" w:rsidR="00F503A3" w:rsidRPr="00F503A3" w:rsidRDefault="00F503A3" w:rsidP="00F503A3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</w:p>
          <w:p w14:paraId="0941B630" w14:textId="77777777" w:rsidR="00F503A3" w:rsidRPr="00F503A3" w:rsidRDefault="00F503A3" w:rsidP="00F503A3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With kind regards,</w:t>
            </w:r>
          </w:p>
          <w:p w14:paraId="38F70935" w14:textId="77777777" w:rsidR="00F503A3" w:rsidRPr="00F503A3" w:rsidRDefault="00F503A3" w:rsidP="00F503A3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F503A3">
              <w:rPr>
                <w:rFonts w:ascii="Arial" w:eastAsia="Arial" w:hAnsi="Arial" w:cs="Arial"/>
                <w:kern w:val="0"/>
                <w14:ligatures w14:val="none"/>
              </w:rPr>
              <w:t>[Responding clinician name and role]</w:t>
            </w:r>
          </w:p>
        </w:tc>
      </w:tr>
    </w:tbl>
    <w:p w14:paraId="12F49034" w14:textId="77777777" w:rsidR="000E0910" w:rsidRPr="000E0910" w:rsidRDefault="000E0910">
      <w:pPr>
        <w:rPr>
          <w:b/>
          <w:bCs/>
          <w:color w:val="0070C0"/>
          <w:sz w:val="32"/>
          <w:szCs w:val="32"/>
        </w:rPr>
      </w:pPr>
    </w:p>
    <w:sectPr w:rsidR="000E0910" w:rsidRPr="000E0910" w:rsidSect="00F503A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F28"/>
    <w:multiLevelType w:val="multilevel"/>
    <w:tmpl w:val="6250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71933"/>
    <w:multiLevelType w:val="multilevel"/>
    <w:tmpl w:val="0006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8C744F"/>
    <w:multiLevelType w:val="hybridMultilevel"/>
    <w:tmpl w:val="F75E5200"/>
    <w:lvl w:ilvl="0" w:tplc="E5384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E0604"/>
    <w:multiLevelType w:val="multilevel"/>
    <w:tmpl w:val="D6C6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9E1618"/>
    <w:multiLevelType w:val="hybridMultilevel"/>
    <w:tmpl w:val="7E68D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064030">
    <w:abstractNumId w:val="4"/>
  </w:num>
  <w:num w:numId="2" w16cid:durableId="654338971">
    <w:abstractNumId w:val="0"/>
  </w:num>
  <w:num w:numId="3" w16cid:durableId="1455561997">
    <w:abstractNumId w:val="3"/>
  </w:num>
  <w:num w:numId="4" w16cid:durableId="881131666">
    <w:abstractNumId w:val="1"/>
  </w:num>
  <w:num w:numId="5" w16cid:durableId="1610897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8C"/>
    <w:rsid w:val="00085AB0"/>
    <w:rsid w:val="000E0910"/>
    <w:rsid w:val="00192716"/>
    <w:rsid w:val="0028328C"/>
    <w:rsid w:val="002C3051"/>
    <w:rsid w:val="004D3824"/>
    <w:rsid w:val="0052020E"/>
    <w:rsid w:val="008D01AA"/>
    <w:rsid w:val="00B05EAE"/>
    <w:rsid w:val="00C47DEC"/>
    <w:rsid w:val="00D42D01"/>
    <w:rsid w:val="00DA354A"/>
    <w:rsid w:val="00E74E5F"/>
    <w:rsid w:val="00E8193E"/>
    <w:rsid w:val="00F503A3"/>
    <w:rsid w:val="00F74020"/>
    <w:rsid w:val="00FC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D13F"/>
  <w15:chartTrackingRefBased/>
  <w15:docId w15:val="{FD2D86D3-0A5E-44DC-A42B-E8A1ACB1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2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2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2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2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2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2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2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2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2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2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2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2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conditions-and-diseases/cardiovascular-conditions/lipid-disorders" TargetMode="External"/><Relationship Id="rId13" Type="http://schemas.openxmlformats.org/officeDocument/2006/relationships/hyperlink" Target="https://www.england.nhs.uk/aac/wp-content/uploads/sites/50/2020/04/lipid-management-pathway-v7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healthinnovationnetwork.co.uk/wp-content/uploads/2024/06/Pathway-for-secondary-care-following-an-Acute-Cardiovascular-event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hehealthinnovationnetwork.co.uk/wp-content/uploads/2024/06/Lipid-optimisation-pathway-for-secondary-prevention-in-primary-care-and-the-community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hf.org.uk/informationsupport" TargetMode="External"/><Relationship Id="rId10" Type="http://schemas.openxmlformats.org/officeDocument/2006/relationships/hyperlink" Target="https://www.escardio.org/Guidelines/Clinical-Practice-Guidelines/Dyslipidaemias-Management-o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escardio.org/Guidelines/Clinical-Practice-Guidelines/Focused-Update-on-Dyslipidaemias" TargetMode="External"/><Relationship Id="rId14" Type="http://schemas.openxmlformats.org/officeDocument/2006/relationships/hyperlink" Target="https://www.england.nhs.uk/aac/wp-content/uploads/sites/50/2020/04/statin-intolerance-pathway-v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0657cea1-7abe-4a58-9362-8a3f81fe83bb" xsi:nil="true"/>
    <DomainNumber xmlns="1f191942-6bfc-41ac-b818-c27b6457eb64" xsi:nil="true"/>
    <lcf76f155ced4ddcb4097134ff3c332f xmlns="1f191942-6bfc-41ac-b818-c27b6457eb64">
      <Terms xmlns="http://schemas.microsoft.com/office/infopath/2007/PartnerControls"/>
    </lcf76f155ced4ddcb4097134ff3c332f>
    <Domain xmlns="1f191942-6bfc-41ac-b818-c27b6457eb64" xsi:nil="true"/>
    <PolicyorSOP_x003f_ xmlns="1f191942-6bfc-41ac-b818-c27b6457eb64" xsi:nil="true"/>
    <_ip_UnifiedCompliancePolicyProperties xmlns="0657cea1-7abe-4a58-9362-8a3f81fe83bb" xsi:nil="true"/>
    <Hubname xmlns="1f191942-6bfc-41ac-b818-c27b6457eb64" xsi:nil="true"/>
    <TaxCatchAll xmlns="0657cea1-7abe-4a58-9362-8a3f81fe83bb" xsi:nil="true"/>
    <Active xmlns="1f191942-6bfc-41ac-b818-c27b6457eb64">true</Active>
    <Potentialpriorty_x003f_ xmlns="1f191942-6bfc-41ac-b818-c27b6457eb64">true</Potentialpriorty_x003f_>
    <MovetoNextReview_x0028_ClinicalLeads_x0029_ xmlns="1f191942-6bfc-41ac-b818-c27b6457eb64">true</MovetoNextReview_x0028_ClinicalLeads_x0029_>
    <Presentable_x003f_ xmlns="1f191942-6bfc-41ac-b818-c27b6457eb64">Not reviewed</Presentable_x003f_>
    <Hub xmlns="1f191942-6bfc-41ac-b818-c27b6457eb64" xsi:nil="true"/>
    <Status xmlns="1f191942-6bfc-41ac-b818-c27b6457eb64" xsi:nil="true"/>
    <FAQ xmlns="1f191942-6bfc-41ac-b818-c27b6457eb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438F1A4505458CC99CD4B88167F8" ma:contentTypeVersion="48" ma:contentTypeDescription="Create a new document." ma:contentTypeScope="" ma:versionID="7c79390b504e861b0fdaa38e5b36edb5">
  <xsd:schema xmlns:xsd="http://www.w3.org/2001/XMLSchema" xmlns:xs="http://www.w3.org/2001/XMLSchema" xmlns:p="http://schemas.microsoft.com/office/2006/metadata/properties" xmlns:ns2="1f191942-6bfc-41ac-b818-c27b6457eb64" xmlns:ns3="0657cea1-7abe-4a58-9362-8a3f81fe83bb" targetNamespace="http://schemas.microsoft.com/office/2006/metadata/properties" ma:root="true" ma:fieldsID="11b41e8ac1b721e33f3b675e3d0e0030" ns2:_="" ns3:_="">
    <xsd:import namespace="1f191942-6bfc-41ac-b818-c27b6457eb64"/>
    <xsd:import namespace="0657cea1-7abe-4a58-9362-8a3f81fe8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ip_UnifiedCompliancePolicyProperties" minOccurs="0"/>
                <xsd:element ref="ns3:_ip_UnifiedCompliancePolicyUIAction" minOccurs="0"/>
                <xsd:element ref="ns2:Active" minOccurs="0"/>
                <xsd:element ref="ns2:Status" minOccurs="0"/>
                <xsd:element ref="ns2:MediaServiceObjectDetectorVersions" minOccurs="0"/>
                <xsd:element ref="ns2:Presentable_x003f_" minOccurs="0"/>
                <xsd:element ref="ns2:PolicyorSOP_x003f_" minOccurs="0"/>
                <xsd:element ref="ns2:Potentialpriorty_x003f_" minOccurs="0"/>
                <xsd:element ref="ns2:Domain" minOccurs="0"/>
                <xsd:element ref="ns2:Hub" minOccurs="0"/>
                <xsd:element ref="ns2:MovetoNextReview_x0028_ClinicalLeads_x0029_" minOccurs="0"/>
                <xsd:element ref="ns2:Hubname" minOccurs="0"/>
                <xsd:element ref="ns2:DomainNumber" minOccurs="0"/>
                <xsd:element ref="ns2:MediaServiceSearchProperties" minOccurs="0"/>
                <xsd:element ref="ns2:FAQ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91942-6bfc-41ac-b818-c27b6457e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tive" ma:index="20" nillable="true" ma:displayName="Active" ma:default="1" ma:description="Is project active?" ma:hidden="true" ma:internalName="Active" ma:readOnly="false">
      <xsd:simpleType>
        <xsd:restriction base="dms:Boolean"/>
      </xsd:simpleType>
    </xsd:element>
    <xsd:element name="Status" ma:index="21" nillable="true" ma:displayName="Status" ma:description="for PH use" ma:internalName="Status" ma:readOnly="false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esentable_x003f_" ma:index="23" nillable="true" ma:displayName="Potentially shareable?" ma:default="Not reviewed" ma:format="Dropdown" ma:internalName="Presentable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licyorSOP_x003f_" ma:index="24" nillable="true" ma:displayName="Policy or SOP?" ma:format="Dropdown" ma:internalName="PolicyorSOP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tentialpriorty_x003f_" ma:index="25" nillable="true" ma:displayName="For review by LN" ma:default="1" ma:description="MB ticked the box for &quot;Yes&quot; when LN should review a document" ma:indexed="true" ma:internalName="Potentialpriorty_x003f_" ma:readOnly="false">
      <xsd:simpleType>
        <xsd:restriction base="dms:Boolean"/>
      </xsd:simpleType>
    </xsd:element>
    <xsd:element name="Domain" ma:index="26" nillable="true" ma:displayName="Domain" ma:format="Dropdown" ma:indexed="true" ma:internalName="Domain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Hub" ma:index="27" nillable="true" ma:displayName="Hub" ma:internalName="Hub" ma:readOnly="false">
      <xsd:simpleType>
        <xsd:restriction base="dms:Text">
          <xsd:maxLength value="255"/>
        </xsd:restriction>
      </xsd:simpleType>
    </xsd:element>
    <xsd:element name="MovetoNextReview_x0028_ClinicalLeads_x0029_" ma:index="28" nillable="true" ma:displayName="Move to Next Review (Clinical Leads)" ma:default="1" ma:description="LN to tick the box for &quot;yes&quot; when the document should be taken forward to the next  review (e.g. by Clinical Leads)" ma:internalName="MovetoNextReview_x0028_ClinicalLeads_x0029_" ma:readOnly="false">
      <xsd:simpleType>
        <xsd:restriction base="dms:Boolean"/>
      </xsd:simpleType>
    </xsd:element>
    <xsd:element name="Hubname" ma:index="29" nillable="true" ma:displayName="Hub name" ma:internalName="Hubname" ma:readOnly="false">
      <xsd:simpleType>
        <xsd:restriction base="dms:Text">
          <xsd:maxLength value="255"/>
        </xsd:restriction>
      </xsd:simpleType>
    </xsd:element>
    <xsd:element name="DomainNumber" ma:index="30" nillable="true" ma:displayName="Domain Number" ma:format="Dropdown" ma:internalName="DomainNumber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Q" ma:index="34" nillable="true" ma:displayName="FAQ" ma:format="Dropdown" ma:internalName="FAQ">
      <xsd:simpleType>
        <xsd:restriction base="dms:Text">
          <xsd:maxLength value="255"/>
        </xsd:restriction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cea1-7abe-4a58-9362-8a3f81fe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32534fcb-c3dd-4f22-a43d-bac975b158d8}" ma:internalName="TaxCatchAll" ma:showField="CatchAllData" ma:web="0657cea1-7abe-4a58-9362-8a3f81fe8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8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2C341-C3CD-4E16-B0C6-4D6D5D85BAC8}">
  <ds:schemaRefs>
    <ds:schemaRef ds:uri="http://schemas.microsoft.com/office/2006/metadata/properties"/>
    <ds:schemaRef ds:uri="http://schemas.microsoft.com/office/infopath/2007/PartnerControls"/>
    <ds:schemaRef ds:uri="0657cea1-7abe-4a58-9362-8a3f81fe83bb"/>
    <ds:schemaRef ds:uri="1f191942-6bfc-41ac-b818-c27b6457eb64"/>
  </ds:schemaRefs>
</ds:datastoreItem>
</file>

<file path=customXml/itemProps2.xml><?xml version="1.0" encoding="utf-8"?>
<ds:datastoreItem xmlns:ds="http://schemas.openxmlformats.org/officeDocument/2006/customXml" ds:itemID="{D6DD2094-BD68-4094-95EB-A4C77EAADB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4BB5B-6EE2-4F35-9800-A5AE8BC20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91942-6bfc-41ac-b818-c27b6457eb64"/>
    <ds:schemaRef ds:uri="0657cea1-7abe-4a58-9362-8a3f81fe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456</Words>
  <Characters>2590</Characters>
  <Application>Microsoft Office Word</Application>
  <DocSecurity>0</DocSecurity>
  <Lines>48</Lines>
  <Paragraphs>28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Andrew (NHS ENGLAND)</dc:creator>
  <cp:keywords/>
  <dc:description/>
  <cp:lastModifiedBy>DANIEL, Andrew (NHS ENGLAND)</cp:lastModifiedBy>
  <cp:revision>8</cp:revision>
  <dcterms:created xsi:type="dcterms:W3CDTF">2026-01-22T17:46:00Z</dcterms:created>
  <dcterms:modified xsi:type="dcterms:W3CDTF">2026-02-09T13:33:00Z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0x010100B65F438F1A4505458CC99CD4B88167F8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